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3B62" w14:textId="77777777" w:rsidR="00301FF2" w:rsidRPr="0018657A" w:rsidRDefault="00301FF2" w:rsidP="003413B9">
      <w:pPr>
        <w:spacing w:line="240" w:lineRule="auto"/>
        <w:rPr>
          <w:rStyle w:val="fontstyle01"/>
          <w:rFonts w:ascii="Garamond" w:hAnsi="Garamond"/>
          <w:b/>
          <w:bCs/>
          <w:sz w:val="36"/>
          <w:szCs w:val="36"/>
        </w:rPr>
      </w:pPr>
      <w:r w:rsidRPr="0018657A">
        <w:rPr>
          <w:rStyle w:val="fontstyle01"/>
          <w:rFonts w:ascii="Garamond" w:hAnsi="Garamond"/>
          <w:b/>
          <w:bCs/>
          <w:sz w:val="36"/>
          <w:szCs w:val="36"/>
        </w:rPr>
        <w:t>STRATEGIJA ZELENE URBANE OBNOVE OPĆINE SV</w:t>
      </w:r>
      <w:r w:rsidR="003413B9" w:rsidRPr="0018657A">
        <w:rPr>
          <w:rStyle w:val="fontstyle01"/>
          <w:rFonts w:ascii="Garamond" w:hAnsi="Garamond"/>
          <w:b/>
          <w:bCs/>
          <w:sz w:val="36"/>
          <w:szCs w:val="36"/>
        </w:rPr>
        <w:t>.</w:t>
      </w:r>
      <w:r w:rsidRPr="0018657A">
        <w:rPr>
          <w:rStyle w:val="fontstyle01"/>
          <w:rFonts w:ascii="Garamond" w:hAnsi="Garamond"/>
          <w:b/>
          <w:bCs/>
          <w:sz w:val="36"/>
          <w:szCs w:val="36"/>
        </w:rPr>
        <w:t xml:space="preserve"> LOVREČ 2024.- 2030. G.</w:t>
      </w:r>
      <w:r w:rsidRPr="0018657A">
        <w:rPr>
          <w:rFonts w:ascii="Garamond" w:hAnsi="Garamond"/>
          <w:b/>
          <w:bCs/>
          <w:color w:val="000000"/>
          <w:sz w:val="36"/>
          <w:szCs w:val="36"/>
        </w:rPr>
        <w:br/>
      </w:r>
    </w:p>
    <w:p w14:paraId="6E5809E5" w14:textId="5A42C083" w:rsidR="00301FF2" w:rsidRDefault="00301FF2" w:rsidP="003413B9">
      <w:pPr>
        <w:spacing w:line="240" w:lineRule="auto"/>
        <w:jc w:val="both"/>
        <w:rPr>
          <w:rStyle w:val="fontstyle01"/>
          <w:rFonts w:ascii="Garamond" w:hAnsi="Garamond"/>
        </w:rPr>
      </w:pPr>
      <w:r w:rsidRPr="00301FF2">
        <w:rPr>
          <w:rStyle w:val="fontstyle01"/>
          <w:rFonts w:ascii="Garamond" w:hAnsi="Garamond"/>
        </w:rPr>
        <w:t>U sklopu Poziva iz Nacionalnog plana oporavka i otpornosti „Izrada strategija zelene urbane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obnove“ NPOO.C6.1.R5.01, Općini Svet</w:t>
      </w:r>
      <w:r>
        <w:rPr>
          <w:rStyle w:val="fontstyle01"/>
          <w:rFonts w:ascii="Garamond" w:hAnsi="Garamond"/>
        </w:rPr>
        <w:t xml:space="preserve">i Lovreč </w:t>
      </w:r>
      <w:r w:rsidRPr="00301FF2">
        <w:rPr>
          <w:rStyle w:val="fontstyle01"/>
          <w:rFonts w:ascii="Garamond" w:hAnsi="Garamond"/>
        </w:rPr>
        <w:t>iz Mehanizma za oporavak i otpornost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dodijeljena su bespovratna sredstva za realizaciju projekta „STRATEGIJA ZELENE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URBANE OBNOVE OPĆINE SVET</w:t>
      </w:r>
      <w:r>
        <w:rPr>
          <w:rStyle w:val="fontstyle01"/>
          <w:rFonts w:ascii="Garamond" w:hAnsi="Garamond"/>
        </w:rPr>
        <w:t xml:space="preserve">I LOVREČ  </w:t>
      </w:r>
      <w:r w:rsidRPr="00301FF2">
        <w:rPr>
          <w:rStyle w:val="fontstyle01"/>
          <w:rFonts w:ascii="Garamond" w:hAnsi="Garamond"/>
        </w:rPr>
        <w:t>2024.</w:t>
      </w:r>
      <w:r>
        <w:rPr>
          <w:rStyle w:val="fontstyle01"/>
          <w:rFonts w:ascii="Garamond" w:hAnsi="Garamond"/>
        </w:rPr>
        <w:t xml:space="preserve"> </w:t>
      </w:r>
      <w:r w:rsidRPr="00301FF2">
        <w:rPr>
          <w:rStyle w:val="fontstyle01"/>
          <w:rFonts w:ascii="Garamond" w:hAnsi="Garamond"/>
        </w:rPr>
        <w:t xml:space="preserve">- 2030. </w:t>
      </w:r>
      <w:r w:rsidR="006465A6">
        <w:rPr>
          <w:rStyle w:val="fontstyle01"/>
          <w:rFonts w:ascii="Garamond" w:hAnsi="Garamond"/>
        </w:rPr>
        <w:t>g</w:t>
      </w:r>
      <w:r w:rsidRPr="00301FF2">
        <w:rPr>
          <w:rStyle w:val="fontstyle01"/>
          <w:rFonts w:ascii="Garamond" w:hAnsi="Garamond"/>
        </w:rPr>
        <w:t>.“</w:t>
      </w:r>
    </w:p>
    <w:p w14:paraId="42809A97" w14:textId="77777777" w:rsidR="002775BD" w:rsidRDefault="00301FF2" w:rsidP="003413B9">
      <w:pPr>
        <w:spacing w:line="240" w:lineRule="auto"/>
        <w:jc w:val="both"/>
        <w:rPr>
          <w:rStyle w:val="fontstyle21"/>
          <w:rFonts w:ascii="Garamond" w:hAnsi="Garamond"/>
        </w:rPr>
      </w:pP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21"/>
          <w:rFonts w:ascii="Garamond" w:hAnsi="Garamond"/>
        </w:rPr>
        <w:t>UKUPNI PRIHVATLJIVI TROŠKOVI PROJEKTA: 31.</w:t>
      </w:r>
      <w:r>
        <w:rPr>
          <w:rStyle w:val="fontstyle21"/>
          <w:rFonts w:ascii="Garamond" w:hAnsi="Garamond"/>
        </w:rPr>
        <w:t>487,70</w:t>
      </w:r>
      <w:r w:rsidRPr="00301FF2">
        <w:rPr>
          <w:rStyle w:val="fontstyle21"/>
          <w:rFonts w:ascii="Garamond" w:hAnsi="Garamond"/>
        </w:rPr>
        <w:t xml:space="preserve"> eura</w:t>
      </w:r>
    </w:p>
    <w:p w14:paraId="5AB76B32" w14:textId="77777777" w:rsidR="002775BD" w:rsidRDefault="00301FF2" w:rsidP="003413B9">
      <w:pPr>
        <w:spacing w:line="240" w:lineRule="auto"/>
        <w:jc w:val="both"/>
        <w:rPr>
          <w:rStyle w:val="fontstyle21"/>
          <w:rFonts w:ascii="Garamond" w:hAnsi="Garamond"/>
        </w:rPr>
      </w:pPr>
      <w:r w:rsidRPr="00301FF2">
        <w:rPr>
          <w:rStyle w:val="fontstyle21"/>
          <w:rFonts w:ascii="Garamond" w:hAnsi="Garamond"/>
        </w:rPr>
        <w:t>RAZDOBLJE PROVEDBE PROJEKTA: od 1. rujna 2024. godine do 30. svibnja 2025.</w:t>
      </w:r>
      <w:r w:rsidRPr="00301FF2">
        <w:rPr>
          <w:rFonts w:ascii="Garamond" w:hAnsi="Garamond"/>
          <w:b/>
          <w:bCs/>
          <w:color w:val="000000"/>
          <w:sz w:val="24"/>
          <w:szCs w:val="24"/>
        </w:rPr>
        <w:br/>
      </w:r>
      <w:r w:rsidRPr="00301FF2">
        <w:rPr>
          <w:rStyle w:val="fontstyle21"/>
          <w:rFonts w:ascii="Garamond" w:hAnsi="Garamond"/>
        </w:rPr>
        <w:t>godine</w:t>
      </w:r>
      <w:r w:rsidRPr="00301FF2">
        <w:rPr>
          <w:rFonts w:ascii="Garamond" w:hAnsi="Garamond"/>
          <w:b/>
          <w:bCs/>
          <w:color w:val="000000"/>
          <w:sz w:val="24"/>
          <w:szCs w:val="24"/>
        </w:rPr>
        <w:br/>
      </w:r>
    </w:p>
    <w:p w14:paraId="49983CEC" w14:textId="77777777" w:rsidR="002775BD" w:rsidRDefault="00301FF2" w:rsidP="003413B9">
      <w:pPr>
        <w:spacing w:line="240" w:lineRule="auto"/>
        <w:jc w:val="both"/>
        <w:rPr>
          <w:rStyle w:val="fontstyle21"/>
          <w:rFonts w:ascii="Garamond" w:hAnsi="Garamond"/>
        </w:rPr>
      </w:pPr>
      <w:r w:rsidRPr="00301FF2">
        <w:rPr>
          <w:rStyle w:val="fontstyle21"/>
          <w:rFonts w:ascii="Garamond" w:hAnsi="Garamond"/>
        </w:rPr>
        <w:t>SAŽETAK PROJEKTA:</w:t>
      </w:r>
    </w:p>
    <w:p w14:paraId="706608D1" w14:textId="272B8579" w:rsidR="002775BD" w:rsidRDefault="00301FF2" w:rsidP="003413B9">
      <w:pPr>
        <w:spacing w:line="240" w:lineRule="auto"/>
        <w:jc w:val="both"/>
        <w:rPr>
          <w:rStyle w:val="fontstyle01"/>
          <w:rFonts w:ascii="Garamond" w:hAnsi="Garamond"/>
        </w:rPr>
      </w:pPr>
      <w:r w:rsidRPr="00301FF2">
        <w:rPr>
          <w:rStyle w:val="fontstyle01"/>
          <w:rFonts w:ascii="Garamond" w:hAnsi="Garamond"/>
        </w:rPr>
        <w:t>Projekt Izrada strategija zelene urbane obnove Općine S</w:t>
      </w:r>
      <w:r w:rsidR="00542337">
        <w:rPr>
          <w:rStyle w:val="fontstyle01"/>
          <w:rFonts w:ascii="Garamond" w:hAnsi="Garamond"/>
        </w:rPr>
        <w:t>veti Lovreč</w:t>
      </w:r>
      <w:r w:rsidRPr="00301FF2">
        <w:rPr>
          <w:rStyle w:val="fontstyle01"/>
          <w:rFonts w:ascii="Garamond" w:hAnsi="Garamond"/>
        </w:rPr>
        <w:t xml:space="preserve"> 2024. – 2030.g. provodi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se u okviru Nacionalnog plana oporavka i otpornosti 2021-2026. Strategija se odnosi na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 xml:space="preserve">cijelo područje Općine </w:t>
      </w:r>
      <w:r w:rsidR="002775BD" w:rsidRPr="00301FF2">
        <w:rPr>
          <w:rStyle w:val="fontstyle01"/>
          <w:rFonts w:ascii="Garamond" w:hAnsi="Garamond"/>
        </w:rPr>
        <w:t>Svet</w:t>
      </w:r>
      <w:r w:rsidR="002775BD">
        <w:rPr>
          <w:rStyle w:val="fontstyle01"/>
          <w:rFonts w:ascii="Garamond" w:hAnsi="Garamond"/>
        </w:rPr>
        <w:t>i Lovreč</w:t>
      </w:r>
      <w:r w:rsidRPr="00301FF2">
        <w:rPr>
          <w:rStyle w:val="fontstyle01"/>
          <w:rFonts w:ascii="Garamond" w:hAnsi="Garamond"/>
        </w:rPr>
        <w:t>. Izrada strategije stvorit će strateške okvire za ubrzan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gospodarski oporavak te digitalnu i zelenu transformaciju radi održivijeg razvoja i veće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otpornosti općine i njenog gospodarstva na buduće krize.</w:t>
      </w:r>
    </w:p>
    <w:p w14:paraId="156D2706" w14:textId="77777777" w:rsidR="002775BD" w:rsidRDefault="00301FF2" w:rsidP="003413B9">
      <w:pPr>
        <w:spacing w:line="240" w:lineRule="auto"/>
        <w:jc w:val="both"/>
        <w:rPr>
          <w:rStyle w:val="fontstyle01"/>
          <w:rFonts w:ascii="Garamond" w:hAnsi="Garamond"/>
        </w:rPr>
      </w:pPr>
      <w:r w:rsidRPr="00301FF2">
        <w:rPr>
          <w:rStyle w:val="fontstyle01"/>
          <w:rFonts w:ascii="Garamond" w:hAnsi="Garamond"/>
        </w:rPr>
        <w:t>Strategija se izrađuje u skladu sa Program razvoja zelene infrastrukture u urbanim područjima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za razdoblje 2021. do 2030. godine (NN 147/21) pa se odnosi na razdoblje 2024. – 2030.g.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Strategija će biti u skladu i sa Programom razvoja kružnog gospodarenja prostorom i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zgradama za razdoblje 2021. do 2030. godine.</w:t>
      </w:r>
    </w:p>
    <w:p w14:paraId="177ED6A4" w14:textId="77777777" w:rsidR="002775BD" w:rsidRDefault="00301FF2" w:rsidP="003413B9">
      <w:pPr>
        <w:spacing w:line="240" w:lineRule="auto"/>
        <w:jc w:val="both"/>
        <w:rPr>
          <w:rStyle w:val="fontstyle01"/>
          <w:rFonts w:ascii="Garamond" w:hAnsi="Garamond"/>
        </w:rPr>
      </w:pPr>
      <w:r w:rsidRPr="00301FF2">
        <w:rPr>
          <w:rStyle w:val="fontstyle01"/>
          <w:rFonts w:ascii="Garamond" w:hAnsi="Garamond"/>
        </w:rPr>
        <w:t>Strategija je akt strateškog planiranja od značaja za općinu, a koji se odnosi na ostvarenje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ciljeva razvoja zelene infrastrukture, integraciju rješenja temeljenih na prirodi, unaprjeđenje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kružnog gospodarenja prostorom i zgradama, ostvarenje ciljeva energetske učinkovitosti,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prilagodbe klimatskim promjenama i jačanje otpornosti na rizike. Strategija će izvršiti analizu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mogućnosti i potreba općine te će takve aktivnosti planirati u svom provedbenom programu,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odnosno u mjerama koje će se utvrditi i koje će biti usklađene i doprinijeti će ciljevima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definiranim Programom razvoja zelene infrastrukture u urbanim područjima za razdoblje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2021. do 2030. godine i Programom razvoja kružnog gospodarenja prostorom i zgradama za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razdoblje 2021. do 2030. godine.</w:t>
      </w:r>
    </w:p>
    <w:p w14:paraId="77FD13A9" w14:textId="77777777" w:rsidR="002775BD" w:rsidRDefault="00301FF2" w:rsidP="003413B9">
      <w:pPr>
        <w:spacing w:line="240" w:lineRule="auto"/>
        <w:jc w:val="both"/>
        <w:rPr>
          <w:rStyle w:val="fontstyle01"/>
          <w:rFonts w:ascii="Garamond" w:hAnsi="Garamond"/>
        </w:rPr>
      </w:pPr>
      <w:r w:rsidRPr="00301FF2">
        <w:rPr>
          <w:rStyle w:val="fontstyle31"/>
          <w:rFonts w:ascii="Garamond" w:hAnsi="Garamond"/>
          <w:sz w:val="24"/>
          <w:szCs w:val="24"/>
        </w:rPr>
        <w:t xml:space="preserve">• </w:t>
      </w:r>
      <w:r w:rsidRPr="00301FF2">
        <w:rPr>
          <w:rStyle w:val="fontstyle01"/>
          <w:rFonts w:ascii="Garamond" w:hAnsi="Garamond"/>
        </w:rPr>
        <w:t>Izrada Strategija zelene urbane obnove</w:t>
      </w:r>
    </w:p>
    <w:p w14:paraId="42E8428A" w14:textId="77777777" w:rsidR="002775BD" w:rsidRDefault="00301FF2" w:rsidP="003413B9">
      <w:pPr>
        <w:spacing w:line="240" w:lineRule="auto"/>
        <w:jc w:val="both"/>
        <w:rPr>
          <w:rStyle w:val="fontstyle01"/>
          <w:rFonts w:ascii="Garamond" w:hAnsi="Garamond"/>
        </w:rPr>
      </w:pPr>
      <w:r w:rsidRPr="00301FF2">
        <w:rPr>
          <w:rStyle w:val="fontstyle31"/>
          <w:rFonts w:ascii="Garamond" w:hAnsi="Garamond"/>
          <w:sz w:val="24"/>
          <w:szCs w:val="24"/>
        </w:rPr>
        <w:t xml:space="preserve">• </w:t>
      </w:r>
      <w:r w:rsidRPr="00301FF2">
        <w:rPr>
          <w:rStyle w:val="fontstyle01"/>
          <w:rFonts w:ascii="Garamond" w:hAnsi="Garamond"/>
        </w:rPr>
        <w:t>Upravljanje projektom i administracija</w:t>
      </w:r>
    </w:p>
    <w:p w14:paraId="634D839E" w14:textId="77777777" w:rsidR="002775BD" w:rsidRDefault="00301FF2" w:rsidP="003413B9">
      <w:pPr>
        <w:spacing w:line="240" w:lineRule="auto"/>
        <w:jc w:val="both"/>
        <w:rPr>
          <w:rStyle w:val="fontstyle01"/>
          <w:rFonts w:ascii="Garamond" w:hAnsi="Garamond"/>
        </w:rPr>
      </w:pPr>
      <w:r w:rsidRPr="00301FF2">
        <w:rPr>
          <w:rStyle w:val="fontstyle31"/>
          <w:rFonts w:ascii="Garamond" w:hAnsi="Garamond"/>
          <w:sz w:val="24"/>
          <w:szCs w:val="24"/>
        </w:rPr>
        <w:t xml:space="preserve">• </w:t>
      </w:r>
      <w:r w:rsidRPr="00301FF2">
        <w:rPr>
          <w:rStyle w:val="fontstyle01"/>
          <w:rFonts w:ascii="Garamond" w:hAnsi="Garamond"/>
        </w:rPr>
        <w:t>Promidžba i vidljivost projekta</w:t>
      </w:r>
    </w:p>
    <w:p w14:paraId="2FBF3C49" w14:textId="77777777" w:rsidR="002775BD" w:rsidRDefault="00301FF2" w:rsidP="003413B9">
      <w:pPr>
        <w:spacing w:line="240" w:lineRule="auto"/>
        <w:jc w:val="both"/>
        <w:rPr>
          <w:rStyle w:val="fontstyle01"/>
          <w:rFonts w:ascii="Garamond" w:hAnsi="Garamond"/>
        </w:rPr>
      </w:pPr>
      <w:r w:rsidRPr="00301FF2">
        <w:rPr>
          <w:rStyle w:val="fontstyle01"/>
          <w:rFonts w:ascii="Garamond" w:hAnsi="Garamond"/>
        </w:rPr>
        <w:t>Cilj i svrha projekta je kroz provedbu istoga provoditi projekte zelene i urbane obnove na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 xml:space="preserve">području Općine </w:t>
      </w:r>
      <w:r w:rsidR="00CB78DE" w:rsidRPr="00CB78DE">
        <w:rPr>
          <w:rStyle w:val="fontstyle01"/>
          <w:rFonts w:ascii="Garamond" w:hAnsi="Garamond"/>
        </w:rPr>
        <w:t>Sveti Lovreč</w:t>
      </w:r>
      <w:r w:rsidRPr="00301FF2">
        <w:rPr>
          <w:rStyle w:val="fontstyle01"/>
          <w:rFonts w:ascii="Garamond" w:hAnsi="Garamond"/>
        </w:rPr>
        <w:t xml:space="preserve"> koji se financiraju bespovratnim EU i RH sredstvima kako bi</w:t>
      </w:r>
      <w:r w:rsidRPr="00301FF2">
        <w:rPr>
          <w:rFonts w:ascii="Garamond" w:hAnsi="Garamond"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>se omogućilo gospodarski oporavak i održiv razvoj općine i svih njenih subjekata.</w:t>
      </w:r>
      <w:r w:rsidRPr="00301FF2">
        <w:rPr>
          <w:rFonts w:ascii="Garamond" w:hAnsi="Garamond"/>
          <w:color w:val="000000"/>
          <w:sz w:val="24"/>
          <w:szCs w:val="24"/>
        </w:rPr>
        <w:br/>
      </w:r>
    </w:p>
    <w:p w14:paraId="618666CF" w14:textId="77777777" w:rsidR="00542337" w:rsidRDefault="00542337" w:rsidP="003413B9">
      <w:pPr>
        <w:spacing w:line="240" w:lineRule="auto"/>
        <w:jc w:val="both"/>
        <w:rPr>
          <w:rStyle w:val="fontstyle01"/>
          <w:rFonts w:ascii="Garamond" w:hAnsi="Garamond"/>
        </w:rPr>
      </w:pPr>
    </w:p>
    <w:p w14:paraId="6464F95C" w14:textId="77777777" w:rsidR="00542337" w:rsidRDefault="00542337" w:rsidP="003413B9">
      <w:pPr>
        <w:spacing w:line="240" w:lineRule="auto"/>
        <w:jc w:val="both"/>
        <w:rPr>
          <w:rStyle w:val="fontstyle01"/>
          <w:rFonts w:ascii="Garamond" w:hAnsi="Garamond"/>
        </w:rPr>
      </w:pPr>
    </w:p>
    <w:p w14:paraId="1359973B" w14:textId="77777777" w:rsidR="00542337" w:rsidRDefault="00542337" w:rsidP="003413B9">
      <w:pPr>
        <w:spacing w:line="240" w:lineRule="auto"/>
        <w:jc w:val="both"/>
        <w:rPr>
          <w:rStyle w:val="fontstyle01"/>
          <w:rFonts w:ascii="Garamond" w:hAnsi="Garamond"/>
        </w:rPr>
      </w:pPr>
    </w:p>
    <w:p w14:paraId="567887F9" w14:textId="77777777" w:rsidR="003413B9" w:rsidRDefault="00301FF2" w:rsidP="003413B9">
      <w:pPr>
        <w:spacing w:line="240" w:lineRule="auto"/>
        <w:jc w:val="both"/>
        <w:rPr>
          <w:rStyle w:val="fontstyle01"/>
          <w:rFonts w:ascii="Garamond" w:hAnsi="Garamond"/>
        </w:rPr>
      </w:pPr>
      <w:r w:rsidRPr="00301FF2">
        <w:rPr>
          <w:rStyle w:val="fontstyle01"/>
          <w:rFonts w:ascii="Garamond" w:hAnsi="Garamond"/>
        </w:rPr>
        <w:lastRenderedPageBreak/>
        <w:t>TIJELO NADLEŽNO ZA KOMPONENTU/INICJATIVU:</w:t>
      </w:r>
      <w:r w:rsidR="002775BD">
        <w:rPr>
          <w:rStyle w:val="fontstyle01"/>
          <w:rFonts w:ascii="Garamond" w:hAnsi="Garamond"/>
        </w:rPr>
        <w:t xml:space="preserve"> </w:t>
      </w:r>
    </w:p>
    <w:p w14:paraId="690531EC" w14:textId="77777777" w:rsidR="002775BD" w:rsidRDefault="00301FF2" w:rsidP="003413B9">
      <w:pPr>
        <w:spacing w:line="240" w:lineRule="auto"/>
        <w:jc w:val="both"/>
        <w:rPr>
          <w:rStyle w:val="fontstyle21"/>
          <w:rFonts w:ascii="Garamond" w:hAnsi="Garamond"/>
        </w:rPr>
      </w:pPr>
      <w:r w:rsidRPr="00301FF2">
        <w:rPr>
          <w:rStyle w:val="fontstyle21"/>
          <w:rFonts w:ascii="Garamond" w:hAnsi="Garamond"/>
        </w:rPr>
        <w:t>Ministarstvo prostornoga uređenja, graditeljstva i državne imovine</w:t>
      </w:r>
    </w:p>
    <w:p w14:paraId="07591C1B" w14:textId="77777777" w:rsidR="003413B9" w:rsidRDefault="00301FF2" w:rsidP="003413B9">
      <w:pPr>
        <w:spacing w:line="240" w:lineRule="auto"/>
        <w:jc w:val="both"/>
        <w:rPr>
          <w:rStyle w:val="fontstyle01"/>
          <w:rFonts w:ascii="Garamond" w:hAnsi="Garamond"/>
        </w:rPr>
      </w:pPr>
      <w:r w:rsidRPr="00301FF2">
        <w:rPr>
          <w:rFonts w:ascii="Garamond" w:hAnsi="Garamond"/>
          <w:b/>
          <w:bCs/>
          <w:color w:val="000000"/>
          <w:sz w:val="24"/>
          <w:szCs w:val="24"/>
        </w:rPr>
        <w:br/>
      </w:r>
      <w:r w:rsidRPr="00301FF2">
        <w:rPr>
          <w:rStyle w:val="fontstyle01"/>
          <w:rFonts w:ascii="Garamond" w:hAnsi="Garamond"/>
        </w:rPr>
        <w:t xml:space="preserve">PROVEDBENO TIJELO: </w:t>
      </w:r>
    </w:p>
    <w:p w14:paraId="0097E478" w14:textId="77777777" w:rsidR="002775BD" w:rsidRDefault="00301FF2" w:rsidP="003413B9">
      <w:pPr>
        <w:spacing w:line="240" w:lineRule="auto"/>
        <w:jc w:val="both"/>
        <w:rPr>
          <w:rStyle w:val="fontstyle21"/>
          <w:rFonts w:ascii="Garamond" w:hAnsi="Garamond"/>
        </w:rPr>
      </w:pPr>
      <w:r w:rsidRPr="00301FF2">
        <w:rPr>
          <w:rStyle w:val="fontstyle21"/>
          <w:rFonts w:ascii="Garamond" w:hAnsi="Garamond"/>
        </w:rPr>
        <w:t>Fond za zaštitu okoliša i energetsku učinkovitost</w:t>
      </w:r>
    </w:p>
    <w:p w14:paraId="5E248CF5" w14:textId="77777777" w:rsidR="001449B5" w:rsidRDefault="00301FF2" w:rsidP="003413B9">
      <w:pPr>
        <w:spacing w:line="240" w:lineRule="auto"/>
        <w:jc w:val="both"/>
        <w:rPr>
          <w:rStyle w:val="fontstyle01"/>
          <w:rFonts w:ascii="Garamond" w:hAnsi="Garamond"/>
        </w:rPr>
      </w:pPr>
      <w:r w:rsidRPr="00301FF2">
        <w:rPr>
          <w:rFonts w:ascii="Garamond" w:hAnsi="Garamond"/>
          <w:sz w:val="24"/>
          <w:szCs w:val="24"/>
        </w:rPr>
        <w:br/>
      </w:r>
      <w:r w:rsidR="003413B9">
        <w:rPr>
          <w:rStyle w:val="fontstyle01"/>
          <w:rFonts w:ascii="Garamond" w:hAnsi="Garamond"/>
        </w:rPr>
        <w:t xml:space="preserve">„Financira Europska unija - NextGenerationEU. Izneseni stavovi i mišljenja samo su autorova i ne održavaju nužno službena stajališta Europske unije ili Europske komisije. Ni Europska unija ni Europska komisija ne mogu se smatrati odgovornima za njih“ </w:t>
      </w:r>
    </w:p>
    <w:p w14:paraId="3B408A24" w14:textId="77777777" w:rsidR="00917988" w:rsidRDefault="00917988" w:rsidP="002775BD">
      <w:pPr>
        <w:jc w:val="both"/>
        <w:rPr>
          <w:rStyle w:val="fontstyle01"/>
          <w:rFonts w:ascii="Garamond" w:hAnsi="Garamond"/>
        </w:rPr>
      </w:pPr>
    </w:p>
    <w:p w14:paraId="3600650A" w14:textId="77777777" w:rsidR="00917988" w:rsidRPr="00301FF2" w:rsidRDefault="00917988" w:rsidP="002775BD">
      <w:pPr>
        <w:jc w:val="both"/>
        <w:rPr>
          <w:rFonts w:ascii="Garamond" w:hAnsi="Garamond"/>
          <w:sz w:val="24"/>
          <w:szCs w:val="24"/>
        </w:rPr>
      </w:pPr>
      <w:r>
        <w:rPr>
          <w:noProof/>
        </w:rPr>
        <w:drawing>
          <wp:inline distT="0" distB="0" distL="0" distR="0" wp14:anchorId="483101EE" wp14:editId="1B23E460">
            <wp:extent cx="5760720" cy="1383923"/>
            <wp:effectExtent l="0" t="0" r="0" b="698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988" w:rsidRPr="0030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F2"/>
    <w:rsid w:val="00042684"/>
    <w:rsid w:val="001449B5"/>
    <w:rsid w:val="00175B1D"/>
    <w:rsid w:val="0018657A"/>
    <w:rsid w:val="002775BD"/>
    <w:rsid w:val="00301FF2"/>
    <w:rsid w:val="003413B9"/>
    <w:rsid w:val="003D262A"/>
    <w:rsid w:val="003D3415"/>
    <w:rsid w:val="0040506A"/>
    <w:rsid w:val="004C17B3"/>
    <w:rsid w:val="00542337"/>
    <w:rsid w:val="005D1DC8"/>
    <w:rsid w:val="006465A6"/>
    <w:rsid w:val="006822EA"/>
    <w:rsid w:val="00723607"/>
    <w:rsid w:val="00892BC2"/>
    <w:rsid w:val="00917988"/>
    <w:rsid w:val="0096704D"/>
    <w:rsid w:val="00B67897"/>
    <w:rsid w:val="00B908D3"/>
    <w:rsid w:val="00C318FF"/>
    <w:rsid w:val="00CB78DE"/>
    <w:rsid w:val="00F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A26B"/>
  <w15:chartTrackingRefBased/>
  <w15:docId w15:val="{6BD3DE8A-97A0-40BF-8698-26692B28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01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01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1F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1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1F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01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01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01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01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1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01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01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1FF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1FF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01FF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01FF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01FF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01FF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01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01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1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01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1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01FF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01FF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01FF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01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01FF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01FF2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Zadanifontodlomka"/>
    <w:rsid w:val="00301FF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301FF2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301FF2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d d</cp:lastModifiedBy>
  <cp:revision>4</cp:revision>
  <cp:lastPrinted>2025-01-22T14:14:00Z</cp:lastPrinted>
  <dcterms:created xsi:type="dcterms:W3CDTF">2025-01-27T09:23:00Z</dcterms:created>
  <dcterms:modified xsi:type="dcterms:W3CDTF">2025-01-27T09:29:00Z</dcterms:modified>
</cp:coreProperties>
</file>